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CBECF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西昌学院</w:t>
      </w:r>
    </w:p>
    <w:p w14:paraId="732E1333">
      <w:pPr>
        <w:spacing w:before="16"/>
        <w:jc w:val="center"/>
        <w:rPr>
          <w:rFonts w:hint="eastAsia" w:ascii="方正小标宋简体" w:hAnsi="方正小标宋简体" w:eastAsia="方正小标宋简体" w:cs="方正小标宋简体"/>
          <w:sz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硕士研究生定向就业协议书</w:t>
      </w:r>
    </w:p>
    <w:p w14:paraId="6F5E8CDC">
      <w:pPr>
        <w:pStyle w:val="3"/>
        <w:keepNext w:val="0"/>
        <w:keepLines w:val="0"/>
        <w:pageBreakBefore w:val="0"/>
        <w:widowControl w:val="0"/>
        <w:tabs>
          <w:tab w:val="left" w:pos="6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12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甲 方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培养单位</w:t>
      </w:r>
      <w:r>
        <w:rPr>
          <w:rFonts w:hint="eastAsia" w:ascii="仿宋_GB2312" w:hAnsi="仿宋_GB2312" w:eastAsia="仿宋_GB2312" w:cs="仿宋_GB2312"/>
          <w:spacing w:val="-19"/>
          <w:sz w:val="24"/>
          <w:szCs w:val="24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20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0"/>
          <w:sz w:val="24"/>
          <w:szCs w:val="24"/>
          <w:u w:val="single"/>
          <w:lang w:val="en-US" w:eastAsia="zh-CN"/>
        </w:rPr>
        <w:t>西昌学院</w:t>
      </w:r>
    </w:p>
    <w:p w14:paraId="0EF1C021">
      <w:pPr>
        <w:pStyle w:val="3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乙</w:t>
      </w:r>
      <w:r>
        <w:rPr>
          <w:rFonts w:hint="eastAsia" w:ascii="仿宋_GB2312" w:hAnsi="仿宋_GB2312" w:eastAsia="仿宋_GB2312" w:cs="仿宋_GB2312"/>
          <w:spacing w:val="48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方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定向就业单位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  <w:lang w:eastAsia="zh-CN"/>
        </w:rPr>
        <w:t>）名称：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  <w:u w:val="singl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val="en-US" w:eastAsia="zh-CN"/>
        </w:rPr>
        <w:t xml:space="preserve">                                                  </w:t>
      </w:r>
    </w:p>
    <w:p w14:paraId="189B190B">
      <w:pPr>
        <w:pStyle w:val="3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  <w:t>乙 方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定向就业单位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val="en-US" w:eastAsia="zh-CN"/>
        </w:rPr>
        <w:t xml:space="preserve">                                        </w:t>
      </w:r>
    </w:p>
    <w:p w14:paraId="31ED7AC1">
      <w:pPr>
        <w:pStyle w:val="3"/>
        <w:keepNext w:val="0"/>
        <w:keepLines w:val="0"/>
        <w:pageBreakBefore w:val="0"/>
        <w:widowControl w:val="0"/>
        <w:tabs>
          <w:tab w:val="left" w:pos="77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  <w:t>乙 方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定向就业单位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  <w:lang w:eastAsia="zh-CN"/>
        </w:rPr>
        <w:t>）有效</w:t>
      </w: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auto"/>
          <w:lang w:val="en-US" w:eastAsia="zh-CN"/>
        </w:rPr>
        <w:t xml:space="preserve">                                            </w:t>
      </w:r>
    </w:p>
    <w:p w14:paraId="2AA5FE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-50" w:rightChars="0" w:hanging="1"/>
        <w:jc w:val="both"/>
        <w:textAlignment w:val="auto"/>
        <w:rPr>
          <w:rFonts w:hint="eastAsia" w:ascii="仿宋_GB2312" w:hAnsi="仿宋_GB2312" w:eastAsia="仿宋_GB2312" w:cs="仿宋_GB2312"/>
          <w:spacing w:val="-18"/>
          <w:sz w:val="24"/>
          <w:szCs w:val="24"/>
          <w:u w:val="single" w:color="000000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丙</w:t>
      </w:r>
      <w:r>
        <w:rPr>
          <w:rFonts w:hint="eastAsia" w:ascii="仿宋_GB2312" w:hAnsi="仿宋_GB2312" w:eastAsia="仿宋_GB2312" w:cs="仿宋_GB2312"/>
          <w:spacing w:val="33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方</w:t>
      </w:r>
      <w:r>
        <w:rPr>
          <w:rFonts w:hint="eastAsia" w:ascii="仿宋_GB2312" w:hAnsi="仿宋_GB2312" w:eastAsia="仿宋_GB2312" w:cs="仿宋_GB2312"/>
          <w:spacing w:val="-9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定向生本人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lang w:eastAsia="zh-CN"/>
        </w:rPr>
        <w:t>）：</w:t>
      </w:r>
      <w:r>
        <w:rPr>
          <w:rFonts w:hint="eastAsia" w:ascii="仿宋_GB2312" w:hAnsi="仿宋_GB2312" w:eastAsia="仿宋_GB2312" w:cs="仿宋_GB2312"/>
          <w:spacing w:val="-66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 w:color="000000"/>
          <w:lang w:eastAsia="zh-CN"/>
        </w:rPr>
        <w:tab/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  <w:u w:val="single" w:color="000000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  <w:u w:val="single" w:color="000000"/>
          <w:lang w:val="en-US" w:eastAsia="zh-CN"/>
        </w:rPr>
        <w:t xml:space="preserve">      ，身份证号码：                 ，联系方式：             </w:t>
      </w:r>
    </w:p>
    <w:p w14:paraId="3F2220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109" w:right="1574" w:hanging="1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18"/>
          <w:sz w:val="24"/>
          <w:szCs w:val="24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甲、乙</w:t>
      </w:r>
      <w:r>
        <w:rPr>
          <w:rFonts w:hint="eastAsia" w:ascii="仿宋_GB2312" w:hAnsi="仿宋_GB2312" w:eastAsia="仿宋_GB2312" w:cs="仿宋_GB2312"/>
          <w:spacing w:val="-55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丙三方协商</w:t>
      </w:r>
      <w:r>
        <w:rPr>
          <w:rFonts w:hint="eastAsia" w:ascii="仿宋_GB2312" w:hAnsi="仿宋_GB2312" w:eastAsia="仿宋_GB2312" w:cs="仿宋_GB2312"/>
          <w:spacing w:val="-16"/>
          <w:sz w:val="24"/>
          <w:szCs w:val="24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致达</w:t>
      </w:r>
      <w:r>
        <w:rPr>
          <w:rFonts w:hint="eastAsia" w:ascii="仿宋_GB2312" w:hAnsi="仿宋_GB2312" w:eastAsia="仿宋_GB2312" w:cs="仿宋_GB2312"/>
          <w:spacing w:val="30"/>
          <w:sz w:val="24"/>
          <w:szCs w:val="24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如下协</w:t>
      </w:r>
      <w:r>
        <w:rPr>
          <w:rFonts w:hint="eastAsia" w:ascii="仿宋_GB2312" w:hAnsi="仿宋_GB2312" w:eastAsia="仿宋_GB2312" w:cs="仿宋_GB2312"/>
          <w:spacing w:val="-28"/>
          <w:sz w:val="24"/>
          <w:szCs w:val="24"/>
          <w:lang w:eastAsia="zh-CN"/>
        </w:rPr>
        <w:t>议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eastAsia="zh-CN"/>
        </w:rPr>
        <w:t>：</w:t>
      </w:r>
    </w:p>
    <w:p w14:paraId="03EBA778">
      <w:pPr>
        <w:pStyle w:val="3"/>
        <w:tabs>
          <w:tab w:val="left" w:pos="3315"/>
          <w:tab w:val="left" w:pos="8372"/>
        </w:tabs>
        <w:spacing w:before="63" w:line="276" w:lineRule="auto"/>
        <w:ind w:left="122" w:right="175" w:firstLine="556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pacing w:val="5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方于</w:t>
      </w:r>
      <w:r>
        <w:rPr>
          <w:rFonts w:hint="eastAsia" w:ascii="仿宋_GB2312" w:hAnsi="仿宋_GB2312" w:eastAsia="仿宋_GB2312" w:cs="仿宋_GB2312"/>
          <w:spacing w:val="93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3"/>
          <w:sz w:val="24"/>
          <w:szCs w:val="24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93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年录取丙方为乙方定向就业的硕</w:t>
      </w:r>
      <w:r>
        <w:rPr>
          <w:rFonts w:hint="eastAsia" w:ascii="仿宋_GB2312" w:hAnsi="仿宋_GB2312" w:eastAsia="仿宋_GB2312" w:cs="仿宋_GB2312"/>
          <w:spacing w:val="11"/>
          <w:sz w:val="24"/>
          <w:szCs w:val="24"/>
          <w:lang w:eastAsia="zh-CN"/>
        </w:rPr>
        <w:t>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研</w:t>
      </w:r>
      <w:r>
        <w:rPr>
          <w:rFonts w:hint="eastAsia" w:ascii="仿宋_GB2312" w:hAnsi="仿宋_GB2312" w:eastAsia="仿宋_GB2312" w:cs="仿宋_GB2312"/>
          <w:spacing w:val="-15"/>
          <w:sz w:val="24"/>
          <w:szCs w:val="24"/>
          <w:lang w:eastAsia="zh-CN"/>
        </w:rPr>
        <w:t>究</w:t>
      </w:r>
      <w:r>
        <w:rPr>
          <w:rFonts w:hint="eastAsia" w:ascii="仿宋_GB2312" w:hAnsi="仿宋_GB2312" w:eastAsia="仿宋_GB2312" w:cs="仿宋_GB2312"/>
          <w:spacing w:val="-18"/>
          <w:sz w:val="24"/>
          <w:szCs w:val="24"/>
          <w:lang w:eastAsia="zh-CN"/>
        </w:rPr>
        <w:t>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05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学制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3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53"/>
          <w:w w:val="90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录取专</w:t>
      </w:r>
      <w:r>
        <w:rPr>
          <w:rFonts w:hint="eastAsia" w:ascii="仿宋_GB2312" w:hAnsi="仿宋_GB2312" w:eastAsia="仿宋_GB2312" w:cs="仿宋_GB2312"/>
          <w:spacing w:val="25"/>
          <w:sz w:val="24"/>
          <w:szCs w:val="24"/>
          <w:lang w:eastAsia="zh-CN"/>
        </w:rPr>
        <w:t>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为</w:t>
      </w:r>
      <w:r>
        <w:rPr>
          <w:rFonts w:hint="eastAsia" w:ascii="仿宋_GB2312" w:hAnsi="仿宋_GB2312" w:eastAsia="仿宋_GB2312" w:cs="仿宋_GB2312"/>
          <w:spacing w:val="-63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24"/>
          <w:szCs w:val="24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取学</w:t>
      </w:r>
      <w:r>
        <w:rPr>
          <w:rFonts w:hint="eastAsia" w:ascii="仿宋_GB2312" w:hAnsi="仿宋_GB2312" w:eastAsia="仿宋_GB2312" w:cs="仿宋_GB2312"/>
          <w:w w:val="105"/>
          <w:sz w:val="24"/>
          <w:szCs w:val="24"/>
          <w:lang w:eastAsia="zh-CN"/>
        </w:rPr>
        <w:t>习方式为</w:t>
      </w:r>
      <w:r>
        <w:rPr>
          <w:rFonts w:hAnsi="宋体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□全日制/□非全日制</w:t>
      </w:r>
      <w:r>
        <w:rPr>
          <w:rFonts w:hAnsi="宋体"/>
          <w:sz w:val="24"/>
          <w:szCs w:val="24"/>
        </w:rPr>
        <w:t>）</w:t>
      </w:r>
      <w:r>
        <w:rPr>
          <w:rFonts w:hint="eastAsia" w:ascii="仿宋_GB2312" w:hAnsi="仿宋_GB2312" w:eastAsia="仿宋_GB2312" w:cs="仿宋_GB2312"/>
          <w:w w:val="85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105"/>
          <w:sz w:val="24"/>
          <w:szCs w:val="24"/>
          <w:lang w:eastAsia="zh-CN"/>
        </w:rPr>
        <w:t>录取类别为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“定向就业”。</w:t>
      </w:r>
    </w:p>
    <w:p w14:paraId="42F20887">
      <w:pPr>
        <w:pStyle w:val="3"/>
        <w:spacing w:before="63" w:line="276" w:lineRule="auto"/>
        <w:ind w:left="112" w:right="197" w:firstLine="564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二、乙丙双方须按国家及甲方相关文件规定及时向甲方缴纳培养费用。费用缴纳形式由乙方和丙方协商决定</w:t>
      </w:r>
      <w:r>
        <w:rPr>
          <w:rFonts w:hint="eastAsia" w:ascii="仿宋_GB2312" w:hAnsi="仿宋_GB2312" w:eastAsia="仿宋_GB2312" w:cs="仿宋_GB2312"/>
          <w:w w:val="105"/>
          <w:sz w:val="24"/>
          <w:szCs w:val="24"/>
          <w:lang w:eastAsia="zh-CN"/>
        </w:rPr>
        <w:t>。</w:t>
      </w:r>
    </w:p>
    <w:p w14:paraId="2174B327">
      <w:pPr>
        <w:pStyle w:val="3"/>
        <w:spacing w:line="283" w:lineRule="auto"/>
        <w:ind w:left="117" w:right="168" w:firstLine="559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丙方在甲方学习期间的工资、福利待遇等劳资关系，由乙方与丙方协商解决。</w:t>
      </w:r>
    </w:p>
    <w:p w14:paraId="755491DB">
      <w:pPr>
        <w:pStyle w:val="3"/>
        <w:spacing w:line="283" w:lineRule="auto"/>
        <w:ind w:left="117" w:right="168" w:firstLine="559"/>
        <w:jc w:val="both"/>
        <w:rPr>
          <w:rFonts w:hint="eastAsia" w:ascii="仿宋_GB2312" w:hAnsi="仿宋_GB2312" w:eastAsia="仿宋_GB2312" w:cs="仿宋_GB2312"/>
          <w:w w:val="105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5"/>
          <w:sz w:val="24"/>
          <w:szCs w:val="24"/>
          <w:lang w:val="en-US" w:eastAsia="zh-CN" w:bidi="ar-SA"/>
        </w:rPr>
        <w:t>四、丙方在学习期间不转户口。乙方负责管理丙方学习期间的户籍关系和人事档案，乙方未履行户籍关系、人事档案管理义务，导致丙方无法正常入学、毕业、就业的，由乙方、丙方承担相应后果。丙方保证具有充足的学习时间，能按照甲方相关规章制度上课、参加考试。否则，导致丙方无法正常毕业的，由乙方、丙方承担相应后果。丙方学习期间的工资、医疗保险、福利待遇等，由乙方负责。</w:t>
      </w:r>
    </w:p>
    <w:p w14:paraId="18754847">
      <w:pPr>
        <w:pStyle w:val="3"/>
        <w:spacing w:line="283" w:lineRule="auto"/>
        <w:ind w:left="108" w:right="145" w:firstLine="568"/>
        <w:jc w:val="both"/>
        <w:rPr>
          <w:rFonts w:hint="eastAsia" w:ascii="仿宋_GB2312" w:hAnsi="仿宋_GB2312" w:eastAsia="仿宋_GB2312" w:cs="仿宋_GB2312"/>
          <w:w w:val="105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丙方在校期间必须自觉遵纪守法</w:t>
      </w:r>
      <w:r>
        <w:rPr>
          <w:rFonts w:hint="eastAsia" w:ascii="仿宋_GB2312" w:hAnsi="仿宋_GB2312" w:eastAsia="仿宋_GB2312" w:cs="仿宋_GB2312"/>
          <w:spacing w:val="7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3"/>
          <w:sz w:val="24"/>
          <w:szCs w:val="24"/>
          <w:lang w:eastAsia="zh-CN"/>
        </w:rPr>
        <w:t>遵守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方的各项规章制度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24"/>
          <w:szCs w:val="24"/>
          <w:lang w:eastAsia="zh-CN"/>
        </w:rPr>
        <w:t>按时完成学业。如有违反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4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方按有关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val="en-US" w:eastAsia="zh-CN"/>
        </w:rPr>
        <w:t>法律法规以及学校管理制度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进行处理</w:t>
      </w:r>
      <w:r>
        <w:rPr>
          <w:rFonts w:hint="eastAsia" w:ascii="仿宋_GB2312" w:hAnsi="仿宋_GB2312" w:eastAsia="仿宋_GB2312" w:cs="仿宋_GB2312"/>
          <w:spacing w:val="-10"/>
          <w:sz w:val="24"/>
          <w:szCs w:val="24"/>
          <w:lang w:eastAsia="zh-CN"/>
        </w:rPr>
        <w:t>，并将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相关情况通知乙方，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乙丙方保证不提出任何异议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595BC7E9">
      <w:pPr>
        <w:pStyle w:val="3"/>
        <w:spacing w:line="283" w:lineRule="auto"/>
        <w:ind w:left="108" w:right="145" w:firstLine="568"/>
        <w:jc w:val="both"/>
        <w:rPr>
          <w:rFonts w:hint="default" w:ascii="仿宋_GB2312" w:hAnsi="仿宋_GB2312" w:eastAsia="仿宋_GB2312" w:cs="仿宋_GB2312"/>
          <w:spacing w:val="-3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六、丙方中途退学、受开除学籍处分，或因其他原因不宜继续学习，须按甲方相关规定办理退学及离校手续，同时本协议书自办理退学及离校手续之日解除。</w:t>
      </w:r>
    </w:p>
    <w:p w14:paraId="4D2E4066">
      <w:pPr>
        <w:pStyle w:val="3"/>
        <w:spacing w:before="62" w:line="276" w:lineRule="auto"/>
        <w:ind w:left="123" w:right="191" w:firstLine="553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w w:val="105"/>
          <w:sz w:val="24"/>
          <w:szCs w:val="24"/>
          <w:lang w:val="en-US" w:eastAsia="zh-CN"/>
        </w:rPr>
        <w:t>七、丙方毕业或结业时，丙方回到乙方就业，乙方负责接收。丙方在学期间，变更定向就业单位的，由乙方和丙方协商解决，并向甲方提供书面材料</w:t>
      </w:r>
      <w:r>
        <w:rPr>
          <w:rFonts w:hint="eastAsia" w:ascii="仿宋_GB2312" w:hAnsi="仿宋_GB2312" w:eastAsia="仿宋_GB2312" w:cs="仿宋_GB2312"/>
          <w:spacing w:val="-11"/>
          <w:w w:val="105"/>
          <w:sz w:val="24"/>
          <w:szCs w:val="24"/>
          <w:lang w:eastAsia="zh-CN"/>
        </w:rPr>
        <w:t>。</w:t>
      </w:r>
    </w:p>
    <w:p w14:paraId="1AA9C390">
      <w:pPr>
        <w:pStyle w:val="3"/>
        <w:spacing w:before="63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w w:val="105"/>
          <w:sz w:val="24"/>
          <w:szCs w:val="24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w w:val="105"/>
          <w:sz w:val="24"/>
          <w:szCs w:val="24"/>
          <w:lang w:eastAsia="zh-CN"/>
        </w:rPr>
        <w:t>本协议经甲乙方签字并加盖公章、丙方签字后生效。</w:t>
      </w:r>
    </w:p>
    <w:p w14:paraId="0BCB4810">
      <w:pPr>
        <w:pStyle w:val="3"/>
        <w:spacing w:before="51" w:line="276" w:lineRule="auto"/>
        <w:ind w:left="122" w:right="165" w:firstLine="554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九、因乙方、丙方未按本协议约定履行相关义务，或丙方存在多次（3次及以上）违反学校规章制度的行为，甲方有权单方解除本协议并对丙方实施注销学籍等处罚行为，不退还培养费用，乙方丙方无异议。</w:t>
      </w:r>
    </w:p>
    <w:p w14:paraId="68FCC099">
      <w:pPr>
        <w:pStyle w:val="3"/>
        <w:spacing w:before="51" w:line="276" w:lineRule="auto"/>
        <w:ind w:left="122" w:right="165" w:firstLine="554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十、因本协议产生的争议，任何一方均可向甲方所在地人民法院起诉。</w:t>
      </w:r>
    </w:p>
    <w:p w14:paraId="15DD9DF1">
      <w:pPr>
        <w:pStyle w:val="3"/>
        <w:spacing w:before="51" w:line="276" w:lineRule="auto"/>
        <w:ind w:left="122" w:right="165" w:firstLine="554"/>
        <w:jc w:val="both"/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本协议一式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份，甲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方执二份，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乙丙方各执一份。协议未尽事宜，由三方协商解决。</w:t>
      </w:r>
    </w:p>
    <w:p w14:paraId="70B478C0">
      <w:pPr>
        <w:pStyle w:val="3"/>
        <w:spacing w:before="9"/>
        <w:ind w:left="0"/>
        <w:rPr>
          <w:sz w:val="13"/>
          <w:szCs w:val="28"/>
          <w:lang w:eastAsia="zh-CN"/>
        </w:rPr>
      </w:pPr>
    </w:p>
    <w:p w14:paraId="5157AED5">
      <w:pPr>
        <w:rPr>
          <w:sz w:val="13"/>
          <w:szCs w:val="24"/>
          <w:lang w:eastAsia="zh-CN"/>
        </w:rPr>
        <w:sectPr>
          <w:type w:val="continuous"/>
          <w:pgSz w:w="11910" w:h="16840"/>
          <w:pgMar w:top="850" w:right="1134" w:bottom="567" w:left="1134" w:header="720" w:footer="720" w:gutter="0"/>
          <w:cols w:space="720" w:num="1"/>
        </w:sectPr>
      </w:pPr>
    </w:p>
    <w:p w14:paraId="15C82BF3">
      <w:pPr>
        <w:tabs>
          <w:tab w:val="left" w:pos="846"/>
        </w:tabs>
        <w:spacing w:before="68" w:line="460" w:lineRule="auto"/>
        <w:ind w:left="107" w:right="38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35"/>
          <w:w w:val="95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t>方</w:t>
      </w:r>
      <w:r>
        <w:rPr>
          <w:rFonts w:hint="eastAsia" w:ascii="仿宋_GB2312" w:hAnsi="仿宋_GB2312" w:eastAsia="仿宋_GB2312" w:cs="仿宋_GB2312"/>
          <w:b/>
          <w:bCs/>
          <w:spacing w:val="-4"/>
          <w:w w:val="95"/>
          <w:sz w:val="24"/>
          <w:szCs w:val="24"/>
          <w:lang w:eastAsia="zh-CN"/>
        </w:rPr>
        <w:t>代</w:t>
      </w:r>
      <w:r>
        <w:rPr>
          <w:rFonts w:hint="eastAsia" w:ascii="仿宋_GB2312" w:hAnsi="仿宋_GB2312" w:eastAsia="仿宋_GB2312" w:cs="仿宋_GB2312"/>
          <w:b/>
          <w:bCs/>
          <w:spacing w:val="2"/>
          <w:w w:val="95"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pacing w:val="-13"/>
          <w:w w:val="95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w w:val="95"/>
          <w:sz w:val="24"/>
          <w:szCs w:val="24"/>
          <w:lang w:eastAsia="zh-CN"/>
        </w:rPr>
        <w:t>签</w:t>
      </w:r>
      <w:r>
        <w:rPr>
          <w:rFonts w:hint="eastAsia" w:ascii="仿宋_GB2312" w:hAnsi="仿宋_GB2312" w:eastAsia="仿宋_GB2312" w:cs="仿宋_GB2312"/>
          <w:b/>
          <w:bCs/>
          <w:spacing w:val="-7"/>
          <w:w w:val="95"/>
          <w:sz w:val="24"/>
          <w:szCs w:val="24"/>
          <w:lang w:eastAsia="zh-CN"/>
        </w:rPr>
        <w:t>字</w:t>
      </w:r>
      <w:r>
        <w:rPr>
          <w:rFonts w:hint="eastAsia" w:ascii="仿宋_GB2312" w:hAnsi="仿宋_GB2312" w:eastAsia="仿宋_GB2312" w:cs="仿宋_GB2312"/>
          <w:b/>
          <w:bCs/>
          <w:spacing w:val="-3"/>
          <w:w w:val="95"/>
          <w:sz w:val="24"/>
          <w:szCs w:val="24"/>
          <w:lang w:eastAsia="zh-CN"/>
        </w:rPr>
        <w:t>）：</w:t>
      </w:r>
      <w:r>
        <w:rPr>
          <w:rFonts w:hint="eastAsia" w:ascii="仿宋_GB2312" w:hAnsi="仿宋_GB2312" w:eastAsia="仿宋_GB2312" w:cs="仿宋_GB2312"/>
          <w:b/>
          <w:bCs/>
          <w:w w:val="85"/>
          <w:sz w:val="24"/>
          <w:szCs w:val="24"/>
          <w:lang w:eastAsia="zh-CN"/>
        </w:rPr>
        <w:t>甲</w:t>
      </w:r>
      <w:r>
        <w:rPr>
          <w:rFonts w:hint="eastAsia" w:ascii="仿宋_GB2312" w:hAnsi="仿宋_GB2312" w:eastAsia="仿宋_GB2312" w:cs="仿宋_GB2312"/>
          <w:b/>
          <w:bCs/>
          <w:w w:val="85"/>
          <w:sz w:val="24"/>
          <w:szCs w:val="24"/>
          <w:lang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6"/>
          <w:sz w:val="24"/>
          <w:szCs w:val="24"/>
          <w:lang w:eastAsia="zh-CN"/>
        </w:rPr>
        <w:t>方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（盖</w:t>
      </w:r>
      <w:r>
        <w:rPr>
          <w:rFonts w:hint="eastAsia" w:ascii="仿宋_GB2312" w:hAnsi="仿宋_GB2312" w:eastAsia="仿宋_GB2312" w:cs="仿宋_GB2312"/>
          <w:b/>
          <w:bCs/>
          <w:spacing w:val="-22"/>
          <w:sz w:val="24"/>
          <w:szCs w:val="24"/>
          <w:lang w:eastAsia="zh-CN"/>
        </w:rPr>
        <w:t>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）</w:t>
      </w:r>
    </w:p>
    <w:p w14:paraId="5279447A">
      <w:pPr>
        <w:tabs>
          <w:tab w:val="left" w:pos="839"/>
        </w:tabs>
        <w:spacing w:before="68" w:line="460" w:lineRule="auto"/>
        <w:ind w:right="38"/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br w:type="column"/>
      </w: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t>乙方代表（签字）： 乙</w:t>
      </w: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t>方（盖章）</w:t>
      </w:r>
    </w:p>
    <w:p w14:paraId="1E651372">
      <w:pPr>
        <w:tabs>
          <w:tab w:val="left" w:pos="833"/>
        </w:tabs>
        <w:spacing w:before="68"/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br w:type="column"/>
      </w: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t>丙   方：</w:t>
      </w:r>
    </w:p>
    <w:p w14:paraId="56F12D3C">
      <w:pPr>
        <w:pStyle w:val="3"/>
        <w:spacing w:before="2"/>
        <w:ind w:left="0"/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</w:pPr>
    </w:p>
    <w:p w14:paraId="7F4611F4">
      <w:pP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sectPr>
          <w:type w:val="continuous"/>
          <w:pgSz w:w="11910" w:h="16840"/>
          <w:pgMar w:top="980" w:right="1200" w:bottom="280" w:left="1300" w:header="720" w:footer="720" w:gutter="0"/>
          <w:cols w:equalWidth="0" w:num="3">
            <w:col w:w="2210" w:space="1496"/>
            <w:col w:w="2203" w:space="1502"/>
            <w:col w:w="1999"/>
          </w:cols>
        </w:sectPr>
      </w:pPr>
      <w:r>
        <w:rPr>
          <w:rFonts w:hint="eastAsia" w:ascii="仿宋_GB2312" w:hAnsi="仿宋_GB2312" w:eastAsia="仿宋_GB2312" w:cs="仿宋_GB2312"/>
          <w:b/>
          <w:bCs/>
          <w:spacing w:val="-15"/>
          <w:w w:val="95"/>
          <w:sz w:val="24"/>
          <w:szCs w:val="24"/>
          <w:lang w:eastAsia="zh-CN"/>
        </w:rPr>
        <w:t>（签字）：</w:t>
      </w:r>
    </w:p>
    <w:p w14:paraId="71F4401A">
      <w:pPr>
        <w:tabs>
          <w:tab w:val="left" w:pos="8032"/>
          <w:tab w:val="left" w:pos="8653"/>
        </w:tabs>
        <w:spacing w:line="283" w:lineRule="exact"/>
        <w:ind w:firstLine="1386" w:firstLineChars="700"/>
        <w:rPr>
          <w:rFonts w:hint="eastAsia" w:ascii="仿宋_GB2312" w:hAnsi="仿宋_GB2312" w:eastAsia="仿宋_GB2312" w:cs="仿宋_GB2312"/>
          <w:spacing w:val="-15"/>
          <w:w w:val="95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5"/>
          <w:w w:val="95"/>
          <w:sz w:val="24"/>
          <w:szCs w:val="24"/>
          <w:lang w:eastAsia="zh-CN"/>
        </w:rPr>
        <w:t xml:space="preserve">年   月   日                   </w:t>
      </w:r>
      <w:r>
        <w:rPr>
          <w:rFonts w:hint="eastAsia" w:ascii="仿宋_GB2312" w:hAnsi="仿宋_GB2312" w:eastAsia="仿宋_GB2312" w:cs="仿宋_GB2312"/>
          <w:spacing w:val="-15"/>
          <w:w w:val="95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w w:val="95"/>
          <w:sz w:val="24"/>
          <w:szCs w:val="24"/>
          <w:lang w:eastAsia="zh-CN"/>
        </w:rPr>
        <w:t xml:space="preserve"> 年   月   日</w:t>
      </w:r>
      <w:r>
        <w:rPr>
          <w:rFonts w:hint="eastAsia" w:ascii="仿宋_GB2312" w:hAnsi="仿宋_GB2312" w:eastAsia="仿宋_GB2312" w:cs="仿宋_GB2312"/>
          <w:spacing w:val="-15"/>
          <w:w w:val="95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15"/>
          <w:w w:val="95"/>
          <w:sz w:val="24"/>
          <w:szCs w:val="24"/>
          <w:lang w:eastAsia="zh-CN"/>
        </w:rPr>
        <w:t>年   月   日</w:t>
      </w:r>
    </w:p>
    <w:sectPr>
      <w:type w:val="continuous"/>
      <w:pgSz w:w="11910" w:h="16840"/>
      <w:pgMar w:top="980" w:right="120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DM3MWFjNzVhOTc4YjA4MDBlZDU2YWYyMWVjOTAifQ=="/>
    <w:docVar w:name="KSO_WPS_MARK_KEY" w:val="faf8d595-cc8b-45d7-9dde-38accb41e480"/>
  </w:docVars>
  <w:rsids>
    <w:rsidRoot w:val="002A5C38"/>
    <w:rsid w:val="00002C2F"/>
    <w:rsid w:val="00011676"/>
    <w:rsid w:val="00056375"/>
    <w:rsid w:val="001B6085"/>
    <w:rsid w:val="001C54BA"/>
    <w:rsid w:val="002A5C38"/>
    <w:rsid w:val="002E5958"/>
    <w:rsid w:val="003B536D"/>
    <w:rsid w:val="003E10C5"/>
    <w:rsid w:val="005E4C05"/>
    <w:rsid w:val="00615C43"/>
    <w:rsid w:val="006D170B"/>
    <w:rsid w:val="00754A4A"/>
    <w:rsid w:val="00853138"/>
    <w:rsid w:val="00D311D3"/>
    <w:rsid w:val="00D4236F"/>
    <w:rsid w:val="00E71BAF"/>
    <w:rsid w:val="00E91826"/>
    <w:rsid w:val="00FB0FE7"/>
    <w:rsid w:val="11CC0572"/>
    <w:rsid w:val="127048CC"/>
    <w:rsid w:val="16491459"/>
    <w:rsid w:val="1A5E0D17"/>
    <w:rsid w:val="1CA61172"/>
    <w:rsid w:val="237458BA"/>
    <w:rsid w:val="383A183C"/>
    <w:rsid w:val="39821F72"/>
    <w:rsid w:val="3F975910"/>
    <w:rsid w:val="3FC53576"/>
    <w:rsid w:val="41C20FB6"/>
    <w:rsid w:val="434D232C"/>
    <w:rsid w:val="47EF2794"/>
    <w:rsid w:val="5AED6180"/>
    <w:rsid w:val="5C977F07"/>
    <w:rsid w:val="620826E5"/>
    <w:rsid w:val="69C167A6"/>
    <w:rsid w:val="6FEC6252"/>
    <w:rsid w:val="72BD3ED6"/>
    <w:rsid w:val="76896907"/>
    <w:rsid w:val="76AD2B5F"/>
    <w:rsid w:val="7BE143EA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1"/>
    <w:pPr>
      <w:ind w:left="676"/>
    </w:pPr>
    <w:rPr>
      <w:sz w:val="27"/>
      <w:szCs w:val="27"/>
    </w:rPr>
  </w:style>
  <w:style w:type="paragraph" w:styleId="4">
    <w:name w:val="Body Text Indent"/>
    <w:basedOn w:val="1"/>
    <w:semiHidden/>
    <w:qFormat/>
    <w:uiPriority w:val="0"/>
    <w:pPr>
      <w:spacing w:line="360" w:lineRule="atLeast"/>
      <w:ind w:firstLine="480"/>
    </w:pPr>
    <w:rPr>
      <w:rFonts w:eastAsia="楷体_GB2312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9"/>
    <w:link w:val="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904</Words>
  <Characters>907</Characters>
  <Lines>5</Lines>
  <Paragraphs>1</Paragraphs>
  <TotalTime>23</TotalTime>
  <ScaleCrop>false</ScaleCrop>
  <LinksUpToDate>false</LinksUpToDate>
  <CharactersWithSpaces>1184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2023-03-16T23:32:00Z</dcterms:created>
  <dc:creator>Administrator.USER-20191116NA</dc:creator>
  <cp:lastModifiedBy>HP</cp:lastModifiedBy>
  <dcterms:modified xsi:type="dcterms:W3CDTF">2025-02-27T01:40:51Z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2023-03-16T00:00:00Z</vt:filetime>
  </property>
  <property fmtid="{D5CDD505-2E9C-101B-9397-08002B2CF9AE}" pid="4" name="KSOProductBuildVer">
    <vt:lpwstr>2052-12.1.0.17133</vt:lpwstr>
  </property>
  <property fmtid="{D5CDD505-2E9C-101B-9397-08002B2CF9AE}" pid="5" name="ICV">
    <vt:lpwstr>603A8980EB6E496198C5147FB107CA35_13</vt:lpwstr>
  </property>
  <property fmtid="{D5CDD505-2E9C-101B-9397-08002B2CF9AE}" pid="6" name="KSOTemplateDocerSaveRecord">
    <vt:lpwstr>eyJoZGlkIjoiMzEwNTM5NzYwMDRjMzkwZTVkZjY2ODkwMGIxNGU0OTUiLCJ1c2VySWQiOiI0NjE1MzE2NDEifQ==</vt:lpwstr>
  </property>
</Properties>
</file>